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00833">
      <w:pPr>
        <w:spacing w:line="720" w:lineRule="auto"/>
        <w:rPr>
          <w:rFonts w:hint="eastAsia" w:ascii="黑体" w:hAnsi="黑体" w:eastAsia="黑体" w:cs="黑体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lang w:val="en-US" w:eastAsia="zh-CN"/>
        </w:rPr>
        <w:t xml:space="preserve">              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XX学院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u w:val="single"/>
          <w:lang w:val="en-US" w:eastAsia="zh-CN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u w:val="none"/>
          <w:lang w:val="en-US" w:eastAsia="zh-CN"/>
        </w:rPr>
        <w:t>届毕业实习方案</w:t>
      </w:r>
    </w:p>
    <w:tbl>
      <w:tblPr>
        <w:tblStyle w:val="3"/>
        <w:tblpPr w:leftFromText="180" w:rightFromText="180" w:vertAnchor="text" w:horzAnchor="page" w:tblpX="1749" w:tblpY="897"/>
        <w:tblOverlap w:val="never"/>
        <w:tblW w:w="87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3"/>
        <w:gridCol w:w="1743"/>
        <w:gridCol w:w="2019"/>
        <w:gridCol w:w="3212"/>
      </w:tblGrid>
      <w:tr w14:paraId="25345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1743" w:type="dxa"/>
          </w:tcPr>
          <w:p w14:paraId="564418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  <w:t>实习时间</w:t>
            </w:r>
          </w:p>
        </w:tc>
        <w:tc>
          <w:tcPr>
            <w:tcW w:w="1743" w:type="dxa"/>
          </w:tcPr>
          <w:p w14:paraId="67B0CD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2024-2025-2</w:t>
            </w:r>
          </w:p>
        </w:tc>
        <w:tc>
          <w:tcPr>
            <w:tcW w:w="2019" w:type="dxa"/>
          </w:tcPr>
          <w:p w14:paraId="60FEC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  <w:t>实习专业及人数</w:t>
            </w:r>
          </w:p>
        </w:tc>
        <w:tc>
          <w:tcPr>
            <w:tcW w:w="3212" w:type="dxa"/>
          </w:tcPr>
          <w:p w14:paraId="62925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某某专业，128人</w:t>
            </w:r>
          </w:p>
          <w:p w14:paraId="3BFEC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某某专业，290人</w:t>
            </w:r>
          </w:p>
        </w:tc>
      </w:tr>
      <w:tr w14:paraId="1873D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0" w:hRule="atLeast"/>
        </w:trPr>
        <w:tc>
          <w:tcPr>
            <w:tcW w:w="1743" w:type="dxa"/>
          </w:tcPr>
          <w:p w14:paraId="5F79A8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616CB6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</w:t>
            </w:r>
          </w:p>
          <w:p w14:paraId="7635A1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D6392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51E2DE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5572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64E7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26EEE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01" w:firstLineChars="100"/>
              <w:textAlignment w:val="auto"/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</w:pPr>
          </w:p>
          <w:p w14:paraId="19F64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01" w:firstLineChars="100"/>
              <w:textAlignment w:val="auto"/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</w:pPr>
          </w:p>
          <w:p w14:paraId="7927AB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01" w:firstLineChars="100"/>
              <w:textAlignment w:val="auto"/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</w:pPr>
          </w:p>
          <w:p w14:paraId="7AEF5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01" w:firstLineChars="100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  <w:t>具体方案</w:t>
            </w:r>
          </w:p>
        </w:tc>
        <w:tc>
          <w:tcPr>
            <w:tcW w:w="6974" w:type="dxa"/>
            <w:gridSpan w:val="3"/>
          </w:tcPr>
          <w:p w14:paraId="5CF64E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84D2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default" w:ascii="方正楷体_GB2312" w:hAnsi="方正楷体_GB2312" w:eastAsia="方正楷体_GB2312" w:cs="方正楷体_GB2312"/>
                <w:b w:val="0"/>
                <w:bCs w:val="0"/>
                <w:color w:val="4874CB" w:themeColor="accen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4874CB" w:themeColor="accen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（格式：宋体小四号字，左对齐，行间距20磅，首行缩进2字符。一级标题加黑，完稿时删除此行）</w:t>
            </w:r>
          </w:p>
          <w:p w14:paraId="1EEC4C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CD4F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以下结构进攻参考</w:t>
            </w:r>
          </w:p>
          <w:p w14:paraId="64A683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组织保障</w:t>
            </w:r>
          </w:p>
          <w:p w14:paraId="385741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管理措施</w:t>
            </w:r>
          </w:p>
          <w:p w14:paraId="6C01AB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实习内容</w:t>
            </w:r>
          </w:p>
          <w:p w14:paraId="6FDBE2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实习基地建设</w:t>
            </w:r>
          </w:p>
          <w:p w14:paraId="108BC3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实习安全应急预案</w:t>
            </w:r>
          </w:p>
          <w:p w14:paraId="44559F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任务分解</w:t>
            </w:r>
          </w:p>
          <w:p w14:paraId="52119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3269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4874CB" w:themeColor="accent1"/>
                <w:sz w:val="24"/>
                <w:szCs w:val="24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4874CB" w:themeColor="accent1"/>
                <w:sz w:val="24"/>
                <w:szCs w:val="24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（</w:t>
            </w: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4874CB" w:themeColor="accen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例如：包括但不限于校内集中培训的内容；分散实习工作的推进；集中实习的预计比例；对于自主实习学生的管理；二级学院领导探访实习基地的频次及大概时间、地点；针对上一届毕业实习中易出现的问题，有怎样的防范措施（例如日记撰写、舆情发生、学生突发疾病、意外受伤等）；是否考虑建设新的实习实践基地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4874CB" w:themeColor="accent1"/>
                <w:sz w:val="24"/>
                <w:szCs w:val="24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）</w:t>
            </w:r>
          </w:p>
          <w:p w14:paraId="18B8CA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DD16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</w:t>
            </w:r>
          </w:p>
          <w:p w14:paraId="57AA1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4196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C5305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515EC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20137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553C9E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50110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6866B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2695AD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6D32AA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282684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327BD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</w:trPr>
        <w:tc>
          <w:tcPr>
            <w:tcW w:w="1743" w:type="dxa"/>
          </w:tcPr>
          <w:p w14:paraId="6626BF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lang w:val="en-US" w:eastAsia="zh-CN"/>
              </w:rPr>
              <w:t xml:space="preserve">     </w:t>
            </w:r>
          </w:p>
          <w:p w14:paraId="69AC7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lang w:val="en-US" w:eastAsia="zh-CN"/>
              </w:rPr>
            </w:pPr>
          </w:p>
          <w:p w14:paraId="6B9C7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  <w:t>二级学院</w:t>
            </w:r>
          </w:p>
          <w:p w14:paraId="70DAD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  <w:t>教学院长</w:t>
            </w:r>
          </w:p>
          <w:p w14:paraId="3E1AD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974" w:type="dxa"/>
            <w:gridSpan w:val="3"/>
          </w:tcPr>
          <w:p w14:paraId="44057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1EC0A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9DA8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（签字，盖章）</w:t>
            </w:r>
          </w:p>
        </w:tc>
      </w:tr>
    </w:tbl>
    <w:p w14:paraId="726FC5D4">
      <w:pP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                        正反面打印 ，可加页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   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20ECA9"/>
    <w:multiLevelType w:val="singleLevel"/>
    <w:tmpl w:val="B720ECA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12BB6D8E"/>
    <w:rsid w:val="03B33EEF"/>
    <w:rsid w:val="12BB6D8E"/>
    <w:rsid w:val="28CC407F"/>
    <w:rsid w:val="4B2B54AD"/>
    <w:rsid w:val="4DDC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281</Words>
  <Characters>297</Characters>
  <Lines>0</Lines>
  <Paragraphs>0</Paragraphs>
  <TotalTime>2</TotalTime>
  <ScaleCrop>false</ScaleCrop>
  <LinksUpToDate>false</LinksUpToDate>
  <CharactersWithSpaces>415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2024-11-05T10:07:00Z</dcterms:created>
  <dc:creator>童尧</dc:creator>
  <cp:lastModifiedBy>童尧</cp:lastModifiedBy>
  <dcterms:modified xsi:type="dcterms:W3CDTF">2024-11-05T11:00:00Z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E5E564CB88CB441DB45B474F2546A15B_11</vt:lpwstr>
  </property>
</Properties>
</file>